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D4AC37" w14:textId="41B4C22F" w:rsidR="00723A6F" w:rsidRPr="00585BAF" w:rsidRDefault="00585BAF">
      <w:pPr>
        <w:rPr>
          <w:rFonts w:ascii="Verdana" w:hAnsi="Verdana"/>
        </w:rPr>
      </w:pPr>
      <w:r w:rsidRPr="00585BAF">
        <w:rPr>
          <w:rFonts w:ascii="Verdana" w:hAnsi="Verdana"/>
        </w:rPr>
        <w:t>Две или более касс РМК Розница 2.2</w:t>
      </w:r>
      <w:r w:rsidR="004C48D9">
        <w:rPr>
          <w:rFonts w:ascii="Verdana" w:hAnsi="Verdana"/>
        </w:rPr>
        <w:t xml:space="preserve"> ПРОФ</w:t>
      </w:r>
    </w:p>
    <w:p w14:paraId="5E9D2636" w14:textId="4DCFD9AE" w:rsidR="00585BAF" w:rsidRPr="00585BAF" w:rsidRDefault="00585BAF">
      <w:pPr>
        <w:rPr>
          <w:rFonts w:ascii="Verdana" w:hAnsi="Verdana"/>
        </w:rPr>
      </w:pPr>
    </w:p>
    <w:p w14:paraId="2BCCC842" w14:textId="442D35C9" w:rsidR="00585BAF" w:rsidRPr="00585BAF" w:rsidRDefault="00585BAF">
      <w:pPr>
        <w:rPr>
          <w:rFonts w:ascii="Verdana" w:hAnsi="Verdana"/>
        </w:rPr>
      </w:pPr>
      <w:r w:rsidRPr="00585BAF">
        <w:rPr>
          <w:rFonts w:ascii="Verdana" w:hAnsi="Verdana"/>
        </w:rPr>
        <w:t>Что такое расширение?!</w:t>
      </w:r>
    </w:p>
    <w:p w14:paraId="713E4A61" w14:textId="77777777" w:rsidR="00585BAF" w:rsidRPr="00585BAF" w:rsidRDefault="00585BAF" w:rsidP="00585BAF">
      <w:pPr>
        <w:pStyle w:val="a3"/>
        <w:shd w:val="clear" w:color="auto" w:fill="FFFFFF"/>
        <w:spacing w:before="0" w:beforeAutospacing="0" w:after="150" w:afterAutospacing="0"/>
        <w:rPr>
          <w:rFonts w:ascii="Verdana" w:hAnsi="Verdana"/>
          <w:color w:val="333333"/>
          <w:sz w:val="22"/>
          <w:szCs w:val="22"/>
        </w:rPr>
      </w:pPr>
      <w:r w:rsidRPr="00585BAF">
        <w:rPr>
          <w:rStyle w:val="a4"/>
          <w:rFonts w:ascii="Verdana" w:hAnsi="Verdana"/>
          <w:color w:val="333333"/>
          <w:sz w:val="22"/>
          <w:szCs w:val="22"/>
        </w:rPr>
        <w:t>"Механизм расширения конфигурации – это специальный механизм, предназначенный для доработки расширяемой конфигурации без изменения этой конфигурации (в том числе без снятия с поддержки).</w:t>
      </w:r>
    </w:p>
    <w:p w14:paraId="647918D4" w14:textId="6E696B77" w:rsidR="00585BAF" w:rsidRPr="00585BAF" w:rsidRDefault="00585BAF" w:rsidP="00585BAF">
      <w:pPr>
        <w:pStyle w:val="a3"/>
        <w:shd w:val="clear" w:color="auto" w:fill="FFFFFF"/>
        <w:spacing w:before="0" w:beforeAutospacing="0" w:after="150" w:afterAutospacing="0"/>
        <w:rPr>
          <w:rFonts w:ascii="Verdana" w:hAnsi="Verdana"/>
          <w:sz w:val="22"/>
          <w:szCs w:val="22"/>
        </w:rPr>
      </w:pPr>
      <w:r w:rsidRPr="00585BAF">
        <w:rPr>
          <w:rStyle w:val="a4"/>
          <w:rFonts w:ascii="Verdana" w:hAnsi="Verdana"/>
          <w:color w:val="333333"/>
          <w:sz w:val="22"/>
          <w:szCs w:val="22"/>
        </w:rPr>
        <w:t>Основное назначение расширения конфигурации – это доработка прикладного решения при внедрении (или в «облаке») под нужды клиента. При этом дорабатываемую конфигурацию не надо снимать с поддержки. В результате сохраняется простота обновления типового прикладного решения, стоящего на поддержке, с необходимостью выполнять доработки. При разработке расширения следует понимать некоторые особенности функционирования расширения конфигурации. Так, расширяемая конфигурация в любой момент может быть изменена, например, в результате обновления. При этом разработчик расширения не может никак повлиять на возможность или невозможность обновления. Также следует учитывать тот факт, что в системе могут функционировать более одного расширения и автор каждого расширения (в общем случае) не знает, как функционирует другое расширение."</w:t>
      </w:r>
    </w:p>
    <w:p w14:paraId="2A429C2F" w14:textId="77777777" w:rsidR="00585BAF" w:rsidRDefault="00585BAF">
      <w:pPr>
        <w:rPr>
          <w:rFonts w:ascii="Verdana" w:hAnsi="Verdana"/>
        </w:rPr>
      </w:pPr>
    </w:p>
    <w:p w14:paraId="39DECFEA" w14:textId="398123AE" w:rsidR="00585BAF" w:rsidRPr="00585BAF" w:rsidRDefault="00585BAF">
      <w:pPr>
        <w:rPr>
          <w:rFonts w:ascii="Verdana" w:hAnsi="Verdana"/>
        </w:rPr>
      </w:pPr>
      <w:r w:rsidRPr="00585BAF">
        <w:rPr>
          <w:rFonts w:ascii="Verdana" w:hAnsi="Verdana"/>
        </w:rPr>
        <w:t xml:space="preserve">Подключаем расширение конфигурации </w:t>
      </w:r>
    </w:p>
    <w:p w14:paraId="5187A695" w14:textId="5D4CB6E7" w:rsidR="00585BAF" w:rsidRPr="00585BAF" w:rsidRDefault="00585BAF">
      <w:pPr>
        <w:rPr>
          <w:rFonts w:ascii="Verdana" w:hAnsi="Verdana"/>
        </w:rPr>
      </w:pPr>
      <w:r w:rsidRPr="00585BAF">
        <w:rPr>
          <w:rFonts w:ascii="Verdana" w:hAnsi="Verdana"/>
        </w:rPr>
        <w:t>Переходим Администрирование – Печатные формы, отчеты и обработки – Расширения</w:t>
      </w:r>
      <w:r w:rsidRPr="00585BAF">
        <w:rPr>
          <w:rFonts w:ascii="Verdana" w:hAnsi="Verdana"/>
          <w:noProof/>
        </w:rPr>
        <w:drawing>
          <wp:inline distT="0" distB="0" distL="0" distR="0" wp14:anchorId="46692038" wp14:editId="7DD74745">
            <wp:extent cx="5940425" cy="4505960"/>
            <wp:effectExtent l="0" t="0" r="317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0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2FC17" w14:textId="3E10C963" w:rsidR="00585BAF" w:rsidRPr="00585BAF" w:rsidRDefault="00585BAF">
      <w:pPr>
        <w:rPr>
          <w:rFonts w:ascii="Verdana" w:hAnsi="Verdana"/>
        </w:rPr>
      </w:pPr>
    </w:p>
    <w:p w14:paraId="250ABBED" w14:textId="3844F5FA" w:rsidR="00585BAF" w:rsidRPr="00585BAF" w:rsidRDefault="00585BAF">
      <w:pPr>
        <w:rPr>
          <w:rFonts w:ascii="Verdana" w:hAnsi="Verdana"/>
        </w:rPr>
      </w:pPr>
      <w:r w:rsidRPr="00585BAF">
        <w:rPr>
          <w:rFonts w:ascii="Verdana" w:hAnsi="Verdana"/>
          <w:noProof/>
        </w:rPr>
        <w:drawing>
          <wp:inline distT="0" distB="0" distL="0" distR="0" wp14:anchorId="66A8BC26" wp14:editId="21FB1442">
            <wp:extent cx="5940425" cy="386969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D5508" w14:textId="586E85F9" w:rsidR="00585BAF" w:rsidRDefault="00585BAF">
      <w:pPr>
        <w:rPr>
          <w:rFonts w:ascii="Verdana" w:hAnsi="Verdana"/>
        </w:rPr>
      </w:pPr>
      <w:r w:rsidRPr="00585BAF">
        <w:rPr>
          <w:rFonts w:ascii="Verdana" w:hAnsi="Verdana"/>
        </w:rPr>
        <w:t xml:space="preserve">Нажимаем добавить и в открывшемся диалоговом окне выбираем </w:t>
      </w:r>
      <w:proofErr w:type="spellStart"/>
      <w:r w:rsidRPr="00585BAF">
        <w:rPr>
          <w:rFonts w:ascii="Verdana" w:hAnsi="Verdana"/>
        </w:rPr>
        <w:t>ККМ.cfe</w:t>
      </w:r>
      <w:proofErr w:type="spellEnd"/>
      <w:r w:rsidRPr="00585BAF">
        <w:rPr>
          <w:rFonts w:ascii="Verdana" w:hAnsi="Verdana"/>
        </w:rPr>
        <w:t xml:space="preserve"> и убираем галочку «безопасный режим», перезапускаем программу. </w:t>
      </w:r>
    </w:p>
    <w:p w14:paraId="23168590" w14:textId="3E6F6926" w:rsidR="00585BAF" w:rsidRDefault="00585BAF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539858D2" wp14:editId="0D277991">
            <wp:extent cx="5940425" cy="1343025"/>
            <wp:effectExtent l="0" t="0" r="317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1AD7D" w14:textId="5917E496" w:rsidR="00585BAF" w:rsidRDefault="00585BAF">
      <w:pPr>
        <w:rPr>
          <w:rFonts w:ascii="Verdana" w:hAnsi="Verdana"/>
        </w:rPr>
      </w:pPr>
      <w:r>
        <w:rPr>
          <w:rFonts w:ascii="Verdana" w:hAnsi="Verdana"/>
        </w:rPr>
        <w:t>Далее подключаем оборудование</w:t>
      </w:r>
    </w:p>
    <w:p w14:paraId="04A92B08" w14:textId="6182022F" w:rsidR="00585BAF" w:rsidRDefault="00585BAF">
      <w:pPr>
        <w:rPr>
          <w:rFonts w:ascii="Verdana" w:hAnsi="Verdana"/>
        </w:rPr>
      </w:pPr>
      <w:r>
        <w:rPr>
          <w:rFonts w:ascii="Verdana" w:hAnsi="Verdana"/>
        </w:rPr>
        <w:t xml:space="preserve">У меня будет два подключаемого оборудование одно касса ККМ с передачей данных </w:t>
      </w:r>
      <w:proofErr w:type="spellStart"/>
      <w:r>
        <w:rPr>
          <w:rFonts w:ascii="Verdana" w:hAnsi="Verdana"/>
        </w:rPr>
        <w:t>атол</w:t>
      </w:r>
      <w:proofErr w:type="spellEnd"/>
      <w:r>
        <w:rPr>
          <w:rFonts w:ascii="Verdana" w:hAnsi="Verdana"/>
        </w:rPr>
        <w:t xml:space="preserve"> 30Ф и эмулятор. </w:t>
      </w:r>
    </w:p>
    <w:p w14:paraId="539ABADC" w14:textId="69B6A44A" w:rsidR="00585BAF" w:rsidRDefault="0067021F">
      <w:pPr>
        <w:rPr>
          <w:rFonts w:ascii="Verdana" w:hAnsi="Verdana"/>
        </w:rPr>
      </w:pPr>
      <w:r>
        <w:rPr>
          <w:rFonts w:ascii="Verdana" w:hAnsi="Verdana"/>
        </w:rPr>
        <w:t xml:space="preserve">Переходим администрирование – подключаемое оборудование и выполняем штатные действия. </w:t>
      </w:r>
    </w:p>
    <w:p w14:paraId="1EC9A88A" w14:textId="754E476E" w:rsidR="0067021F" w:rsidRDefault="0067021F">
      <w:pPr>
        <w:rPr>
          <w:rFonts w:ascii="Verdana" w:hAnsi="Verdana"/>
        </w:rPr>
      </w:pPr>
      <w:r>
        <w:rPr>
          <w:noProof/>
        </w:rPr>
        <w:lastRenderedPageBreak/>
        <w:drawing>
          <wp:inline distT="0" distB="0" distL="0" distR="0" wp14:anchorId="7DCA6EDC" wp14:editId="607EA35E">
            <wp:extent cx="5940425" cy="213296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3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73195" w14:textId="109153EC" w:rsidR="0067021F" w:rsidRDefault="0067021F">
      <w:pPr>
        <w:rPr>
          <w:rFonts w:ascii="Verdana" w:hAnsi="Verdana"/>
        </w:rPr>
      </w:pPr>
    </w:p>
    <w:p w14:paraId="71B36C07" w14:textId="060BB6E4" w:rsidR="0067021F" w:rsidRDefault="0067021F">
      <w:pPr>
        <w:rPr>
          <w:rFonts w:ascii="Verdana" w:hAnsi="Verdana"/>
        </w:rPr>
      </w:pPr>
      <w:r>
        <w:rPr>
          <w:rFonts w:ascii="Verdana" w:hAnsi="Verdana"/>
        </w:rPr>
        <w:t>Далее надо перейти в НСИ – Кассы ККМ и создать две кассы.</w:t>
      </w:r>
    </w:p>
    <w:p w14:paraId="168664B7" w14:textId="34029864" w:rsidR="0067021F" w:rsidRPr="0067021F" w:rsidRDefault="0067021F">
      <w:pPr>
        <w:rPr>
          <w:rFonts w:ascii="Verdana" w:hAnsi="Verdana"/>
          <w:color w:val="FF0000"/>
        </w:rPr>
      </w:pPr>
      <w:r w:rsidRPr="0067021F">
        <w:rPr>
          <w:rFonts w:ascii="Verdana" w:hAnsi="Verdana"/>
          <w:color w:val="FF0000"/>
        </w:rPr>
        <w:t>Штатные методы 1</w:t>
      </w:r>
      <w:proofErr w:type="gramStart"/>
      <w:r w:rsidRPr="0067021F">
        <w:rPr>
          <w:rFonts w:ascii="Verdana" w:hAnsi="Verdana"/>
          <w:color w:val="FF0000"/>
        </w:rPr>
        <w:t>С:Розница</w:t>
      </w:r>
      <w:proofErr w:type="gramEnd"/>
      <w:r w:rsidRPr="0067021F">
        <w:rPr>
          <w:rFonts w:ascii="Verdana" w:hAnsi="Verdana"/>
          <w:color w:val="FF0000"/>
        </w:rPr>
        <w:t xml:space="preserve"> 2.2 Не позволяют создавать две кассы ККМ на одну организацию и на одно и тоже рабочее место, но в расширении это исправлено. Поэтому можно создавать не ограниченно количество касс ККМ. </w:t>
      </w:r>
    </w:p>
    <w:p w14:paraId="538B0EDD" w14:textId="629D010E" w:rsidR="0067021F" w:rsidRDefault="0067021F">
      <w:pPr>
        <w:rPr>
          <w:rFonts w:ascii="Verdana" w:hAnsi="Verdana"/>
        </w:rPr>
      </w:pPr>
    </w:p>
    <w:p w14:paraId="3C3E4FED" w14:textId="335B6FD9" w:rsidR="0067021F" w:rsidRDefault="0067021F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17CAE9EB" wp14:editId="03677761">
            <wp:extent cx="5940425" cy="44462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EA6BB" w14:textId="77777777" w:rsidR="0067021F" w:rsidRDefault="0067021F">
      <w:pPr>
        <w:rPr>
          <w:rFonts w:ascii="Verdana" w:hAnsi="Verdana"/>
        </w:rPr>
      </w:pPr>
    </w:p>
    <w:p w14:paraId="03323B1E" w14:textId="39129D8E" w:rsidR="0067021F" w:rsidRDefault="0067021F">
      <w:pPr>
        <w:rPr>
          <w:rFonts w:ascii="Verdana" w:hAnsi="Verdana"/>
        </w:rPr>
      </w:pPr>
    </w:p>
    <w:p w14:paraId="1A331826" w14:textId="203371E2" w:rsidR="0067021F" w:rsidRDefault="00743117">
      <w:pPr>
        <w:rPr>
          <w:rFonts w:ascii="Verdana" w:hAnsi="Verdana"/>
        </w:rPr>
      </w:pPr>
      <w:r>
        <w:rPr>
          <w:noProof/>
        </w:rPr>
        <w:lastRenderedPageBreak/>
        <w:drawing>
          <wp:inline distT="0" distB="0" distL="0" distR="0" wp14:anchorId="01AB2CE0" wp14:editId="613A9A04">
            <wp:extent cx="5940425" cy="1381760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8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4AA30" w14:textId="7821F164" w:rsidR="00743117" w:rsidRDefault="00743117">
      <w:pPr>
        <w:rPr>
          <w:rFonts w:ascii="Verdana" w:hAnsi="Verdana"/>
        </w:rPr>
      </w:pPr>
    </w:p>
    <w:p w14:paraId="49367034" w14:textId="301E66B6" w:rsidR="00743117" w:rsidRDefault="00743117">
      <w:pPr>
        <w:rPr>
          <w:rFonts w:ascii="Verdana" w:hAnsi="Verdana"/>
        </w:rPr>
      </w:pPr>
      <w:r>
        <w:rPr>
          <w:rFonts w:ascii="Verdana" w:hAnsi="Verdana"/>
        </w:rPr>
        <w:t>Далее переходим в РМК</w:t>
      </w:r>
    </w:p>
    <w:p w14:paraId="19572139" w14:textId="299DD805" w:rsidR="00743117" w:rsidRDefault="00743117">
      <w:pPr>
        <w:rPr>
          <w:rFonts w:ascii="Verdana" w:hAnsi="Verdana"/>
        </w:rPr>
      </w:pPr>
      <w:r>
        <w:rPr>
          <w:rFonts w:ascii="Verdana" w:hAnsi="Verdana"/>
        </w:rPr>
        <w:t xml:space="preserve">Продажи </w:t>
      </w:r>
      <w:r w:rsidR="00C0167D">
        <w:rPr>
          <w:rFonts w:ascii="Verdana" w:hAnsi="Verdana"/>
        </w:rPr>
        <w:t>–</w:t>
      </w:r>
      <w:r>
        <w:rPr>
          <w:rFonts w:ascii="Verdana" w:hAnsi="Verdana"/>
        </w:rPr>
        <w:t xml:space="preserve"> </w:t>
      </w:r>
      <w:r w:rsidR="00C0167D">
        <w:rPr>
          <w:rFonts w:ascii="Verdana" w:hAnsi="Verdana"/>
        </w:rPr>
        <w:t xml:space="preserve">РМК (Управляемый режим) или кнопка </w:t>
      </w:r>
      <w:r w:rsidR="00C0167D">
        <w:rPr>
          <w:rFonts w:ascii="Verdana" w:hAnsi="Verdana"/>
          <w:lang w:val="en-US"/>
        </w:rPr>
        <w:t>F</w:t>
      </w:r>
      <w:r w:rsidR="00C0167D" w:rsidRPr="00C0167D">
        <w:rPr>
          <w:rFonts w:ascii="Verdana" w:hAnsi="Verdana"/>
        </w:rPr>
        <w:t>11</w:t>
      </w:r>
    </w:p>
    <w:p w14:paraId="27750106" w14:textId="1D2FA52A" w:rsidR="001E671A" w:rsidRDefault="001E671A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6069581C" wp14:editId="446621E8">
            <wp:extent cx="3276600" cy="5505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550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FF49B" w14:textId="7B6573CF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>Открываем сметы</w:t>
      </w:r>
    </w:p>
    <w:p w14:paraId="7E18BD56" w14:textId="044AFCA4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>Если смены не открыты на обоих устройствах, тогда программа откроет список устройств для открытия смены. Если смена не открыта на одном устройстве, тогда просто откроет смену.</w:t>
      </w:r>
    </w:p>
    <w:p w14:paraId="4BCAD1C8" w14:textId="2CDF2DA7" w:rsidR="001E671A" w:rsidRDefault="001E671A">
      <w:pPr>
        <w:rPr>
          <w:rFonts w:ascii="Verdana" w:hAnsi="Verdana"/>
        </w:rPr>
      </w:pPr>
      <w:r>
        <w:rPr>
          <w:noProof/>
        </w:rPr>
        <w:lastRenderedPageBreak/>
        <w:drawing>
          <wp:inline distT="0" distB="0" distL="0" distR="0" wp14:anchorId="711080AC" wp14:editId="21253E99">
            <wp:extent cx="3286125" cy="55054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550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730BE" w14:textId="0A9BE4B1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 xml:space="preserve">После открытия переходим в Регистрацию продаж </w:t>
      </w:r>
    </w:p>
    <w:p w14:paraId="19A101CA" w14:textId="40B46789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>При открытии программа предложит выбор на какой кассе вы будете работать.</w:t>
      </w:r>
    </w:p>
    <w:p w14:paraId="63F4D72C" w14:textId="562B3039" w:rsidR="001E671A" w:rsidRDefault="001E671A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4D4010D7" wp14:editId="1167CCDF">
            <wp:extent cx="5940425" cy="263779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3242D" w14:textId="77777777" w:rsidR="001E671A" w:rsidRPr="008A7E68" w:rsidRDefault="001E671A">
      <w:pPr>
        <w:rPr>
          <w:rFonts w:ascii="Verdana" w:hAnsi="Verdana"/>
          <w:color w:val="FF0000"/>
        </w:rPr>
      </w:pPr>
      <w:r w:rsidRPr="008A7E68">
        <w:rPr>
          <w:rFonts w:ascii="Verdana" w:hAnsi="Verdana"/>
          <w:color w:val="FF0000"/>
        </w:rPr>
        <w:lastRenderedPageBreak/>
        <w:t xml:space="preserve">Выбор кассы происходит ни при каждом пробитие чека, а когда это необходимо, каждый раз выбирать кассу это доставляет не удобство. </w:t>
      </w:r>
    </w:p>
    <w:p w14:paraId="33BA5601" w14:textId="77777777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 xml:space="preserve">Выбираем нужную кассу, в верхней части отображается текущая выбранная касса. </w:t>
      </w:r>
    </w:p>
    <w:p w14:paraId="51E5D0CD" w14:textId="0FA6E2C1" w:rsidR="001E671A" w:rsidRPr="00C0167D" w:rsidRDefault="001E671A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1055C7C1" wp14:editId="7F1B94B6">
            <wp:extent cx="5940425" cy="26301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t xml:space="preserve"> </w:t>
      </w:r>
    </w:p>
    <w:p w14:paraId="5EFBE06E" w14:textId="2B9565DA" w:rsidR="0067021F" w:rsidRDefault="001E671A">
      <w:pPr>
        <w:rPr>
          <w:rFonts w:ascii="Verdana" w:hAnsi="Verdana"/>
        </w:rPr>
      </w:pPr>
      <w:r>
        <w:rPr>
          <w:rFonts w:ascii="Verdana" w:hAnsi="Verdana"/>
        </w:rPr>
        <w:t xml:space="preserve">Пробитие чека на эмуляторе </w:t>
      </w:r>
    </w:p>
    <w:p w14:paraId="1D71269A" w14:textId="6C570583" w:rsidR="001E671A" w:rsidRDefault="001E671A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5F636043" wp14:editId="12CD62E1">
            <wp:extent cx="5940425" cy="236664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B6022" w14:textId="7B425011" w:rsidR="001E671A" w:rsidRDefault="001E671A">
      <w:pPr>
        <w:rPr>
          <w:rFonts w:ascii="Verdana" w:hAnsi="Verdana"/>
        </w:rPr>
      </w:pPr>
      <w:r>
        <w:rPr>
          <w:rFonts w:ascii="Verdana" w:hAnsi="Verdana"/>
        </w:rPr>
        <w:t>Выбор кассы про</w:t>
      </w:r>
      <w:r w:rsidR="004C2A4F">
        <w:rPr>
          <w:rFonts w:ascii="Verdana" w:hAnsi="Verdana"/>
        </w:rPr>
        <w:t>исходит по кнопке «Изменить кассу ККМ»</w:t>
      </w:r>
    </w:p>
    <w:p w14:paraId="3A069E8D" w14:textId="7114720A" w:rsidR="004C2A4F" w:rsidRDefault="004C2A4F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113296CE" wp14:editId="5CECD90A">
            <wp:extent cx="5486400" cy="246668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95053" cy="2470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7D53B" w14:textId="5DB9502D" w:rsidR="004C2A4F" w:rsidRDefault="004C2A4F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Пробитие чека на фискальном устройстве </w:t>
      </w:r>
    </w:p>
    <w:p w14:paraId="2945ACE9" w14:textId="710722F6" w:rsidR="004C2A4F" w:rsidRDefault="004C2A4F">
      <w:pPr>
        <w:rPr>
          <w:rFonts w:ascii="Verdana" w:hAnsi="Verdana"/>
        </w:rPr>
      </w:pPr>
    </w:p>
    <w:p w14:paraId="54092677" w14:textId="685236CB" w:rsidR="004C2A4F" w:rsidRDefault="004C2A4F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315DFC91" wp14:editId="3D4188F1">
            <wp:extent cx="5940425" cy="252222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C3C215" wp14:editId="03E44C5D">
            <wp:extent cx="1564843" cy="2114093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78133" cy="2132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CEDA0" w14:textId="653BA80F" w:rsidR="004C2A4F" w:rsidRDefault="00555006">
      <w:pPr>
        <w:rPr>
          <w:rFonts w:ascii="Verdana" w:hAnsi="Verdana"/>
        </w:rPr>
      </w:pPr>
      <w:r>
        <w:rPr>
          <w:rFonts w:ascii="Verdana" w:hAnsi="Verdana"/>
        </w:rPr>
        <w:t xml:space="preserve">Можно закрывать смены. </w:t>
      </w:r>
    </w:p>
    <w:p w14:paraId="3CAB3AFD" w14:textId="6ACB7C4F" w:rsidR="00555006" w:rsidRDefault="00555006">
      <w:pPr>
        <w:rPr>
          <w:rFonts w:ascii="Verdana" w:hAnsi="Verdana"/>
        </w:rPr>
      </w:pPr>
      <w:r>
        <w:rPr>
          <w:rFonts w:ascii="Verdana" w:hAnsi="Verdana"/>
        </w:rPr>
        <w:t xml:space="preserve">После закрытия смены формируются два документа отчет о розничных продажах, один по кассе другой по эмулятору. </w:t>
      </w:r>
    </w:p>
    <w:p w14:paraId="1B6CCED3" w14:textId="77777777" w:rsidR="00555006" w:rsidRDefault="00555006">
      <w:pPr>
        <w:rPr>
          <w:rFonts w:ascii="Verdana" w:hAnsi="Verdana"/>
        </w:rPr>
      </w:pPr>
    </w:p>
    <w:p w14:paraId="7982B4E6" w14:textId="38D684C6" w:rsidR="0067021F" w:rsidRDefault="00555006">
      <w:pPr>
        <w:rPr>
          <w:rFonts w:ascii="Verdana" w:hAnsi="Verdana"/>
        </w:rPr>
      </w:pPr>
      <w:r>
        <w:rPr>
          <w:noProof/>
        </w:rPr>
        <w:drawing>
          <wp:inline distT="0" distB="0" distL="0" distR="0" wp14:anchorId="6BF03F69" wp14:editId="70E914F9">
            <wp:extent cx="5940425" cy="135509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08490" w14:textId="7677AEF7" w:rsidR="00555006" w:rsidRDefault="00555006">
      <w:pPr>
        <w:rPr>
          <w:rFonts w:ascii="Verdana" w:hAnsi="Verdana"/>
        </w:rPr>
      </w:pPr>
      <w:r>
        <w:rPr>
          <w:rFonts w:ascii="Verdana" w:hAnsi="Verdana"/>
        </w:rPr>
        <w:t xml:space="preserve">Отчет о продажах. </w:t>
      </w:r>
    </w:p>
    <w:p w14:paraId="68803104" w14:textId="537979CD" w:rsidR="00555006" w:rsidRDefault="00555006">
      <w:pPr>
        <w:rPr>
          <w:rFonts w:ascii="Verdana" w:hAnsi="Verdana"/>
        </w:rPr>
      </w:pPr>
      <w:r>
        <w:rPr>
          <w:noProof/>
        </w:rPr>
        <w:lastRenderedPageBreak/>
        <w:drawing>
          <wp:inline distT="0" distB="0" distL="0" distR="0" wp14:anchorId="76428B21" wp14:editId="436A2897">
            <wp:extent cx="5940425" cy="2512060"/>
            <wp:effectExtent l="0" t="0" r="317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1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C934C" w14:textId="4A2DA412" w:rsidR="0067021F" w:rsidRPr="00D01A8C" w:rsidRDefault="007F5508">
      <w:pPr>
        <w:rPr>
          <w:rFonts w:ascii="Verdana" w:hAnsi="Verdana"/>
        </w:rPr>
      </w:pPr>
      <w:r>
        <w:rPr>
          <w:rFonts w:ascii="Verdana" w:hAnsi="Verdana"/>
          <w:lang w:val="en-US"/>
        </w:rPr>
        <w:t>Denis</w:t>
      </w:r>
      <w:r w:rsidRPr="00D01A8C">
        <w:rPr>
          <w:rFonts w:ascii="Verdana" w:hAnsi="Verdana"/>
        </w:rPr>
        <w:t>.</w:t>
      </w:r>
    </w:p>
    <w:p w14:paraId="53FC2792" w14:textId="68B32178" w:rsidR="007F5508" w:rsidRPr="00D01A8C" w:rsidRDefault="007F5508">
      <w:pPr>
        <w:rPr>
          <w:rFonts w:ascii="Verdana" w:hAnsi="Verdana"/>
        </w:rPr>
      </w:pPr>
      <w:r>
        <w:rPr>
          <w:rFonts w:ascii="Verdana" w:hAnsi="Verdana"/>
          <w:lang w:val="en-US"/>
        </w:rPr>
        <w:t>Di</w:t>
      </w:r>
      <w:r w:rsidRPr="00D01A8C">
        <w:rPr>
          <w:rFonts w:ascii="Verdana" w:hAnsi="Verdana"/>
        </w:rPr>
        <w:t>.</w:t>
      </w:r>
      <w:r>
        <w:rPr>
          <w:rFonts w:ascii="Verdana" w:hAnsi="Verdana"/>
          <w:lang w:val="en-US"/>
        </w:rPr>
        <w:t>Denis</w:t>
      </w:r>
      <w:r w:rsidRPr="00D01A8C">
        <w:rPr>
          <w:rFonts w:ascii="Verdana" w:hAnsi="Verdana"/>
        </w:rPr>
        <w:t>@</w:t>
      </w:r>
      <w:r>
        <w:rPr>
          <w:rFonts w:ascii="Verdana" w:hAnsi="Verdana"/>
          <w:lang w:val="en-US"/>
        </w:rPr>
        <w:t>mail</w:t>
      </w:r>
      <w:r w:rsidRPr="00D01A8C">
        <w:rPr>
          <w:rFonts w:ascii="Verdana" w:hAnsi="Verdana"/>
        </w:rPr>
        <w:t>.</w:t>
      </w:r>
      <w:proofErr w:type="spellStart"/>
      <w:r>
        <w:rPr>
          <w:rFonts w:ascii="Verdana" w:hAnsi="Verdana"/>
          <w:lang w:val="en-US"/>
        </w:rPr>
        <w:t>ru</w:t>
      </w:r>
      <w:proofErr w:type="spellEnd"/>
    </w:p>
    <w:p w14:paraId="189A7980" w14:textId="24410F84" w:rsidR="00585BAF" w:rsidRPr="00585BAF" w:rsidRDefault="00585BAF">
      <w:pPr>
        <w:rPr>
          <w:rFonts w:ascii="Verdana" w:hAnsi="Verdana"/>
        </w:rPr>
      </w:pPr>
    </w:p>
    <w:p w14:paraId="5A1B968F" w14:textId="78A7DAC3" w:rsidR="00585BAF" w:rsidRPr="00585BAF" w:rsidRDefault="00D01A8C">
      <w:pPr>
        <w:rPr>
          <w:rFonts w:ascii="Verdana" w:hAnsi="Verdana"/>
        </w:rPr>
      </w:pPr>
      <w:r>
        <w:rPr>
          <w:rFonts w:ascii="Verdana" w:hAnsi="Verdana" w:cs="Calibri"/>
          <w:color w:val="FF0000"/>
        </w:rPr>
        <w:t>П</w:t>
      </w:r>
      <w:r>
        <w:rPr>
          <w:rFonts w:ascii="Verdana" w:hAnsi="Verdana" w:cs="Calibri"/>
          <w:color w:val="FF0000"/>
        </w:rPr>
        <w:t>робитие</w:t>
      </w:r>
      <w:r>
        <w:rPr>
          <w:rFonts w:ascii="Verdana" w:hAnsi="Verdana" w:cs="Calibri"/>
          <w:color w:val="FF0000"/>
        </w:rPr>
        <w:t xml:space="preserve"> </w:t>
      </w:r>
      <w:r>
        <w:rPr>
          <w:rFonts w:ascii="Verdana" w:hAnsi="Verdana" w:cs="Calibri"/>
          <w:color w:val="FF0000"/>
        </w:rPr>
        <w:tab/>
      </w:r>
      <w:bookmarkStart w:id="0" w:name="_GoBack"/>
      <w:bookmarkEnd w:id="0"/>
    </w:p>
    <w:sectPr w:rsidR="00585BAF" w:rsidRPr="00585B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1A7B"/>
    <w:rsid w:val="000F3271"/>
    <w:rsid w:val="001E671A"/>
    <w:rsid w:val="004C2A4F"/>
    <w:rsid w:val="004C48D9"/>
    <w:rsid w:val="00555006"/>
    <w:rsid w:val="00585BAF"/>
    <w:rsid w:val="0067021F"/>
    <w:rsid w:val="00723A6F"/>
    <w:rsid w:val="00743117"/>
    <w:rsid w:val="007F5508"/>
    <w:rsid w:val="008A7E68"/>
    <w:rsid w:val="00C0167D"/>
    <w:rsid w:val="00D01A8C"/>
    <w:rsid w:val="00DE1A7B"/>
    <w:rsid w:val="00F10881"/>
    <w:rsid w:val="00F82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49CFE4"/>
  <w15:chartTrackingRefBased/>
  <w15:docId w15:val="{F766A69A-9A6E-4FE2-AC95-BBCD76044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85B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585BA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59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411</Words>
  <Characters>2344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Denis</cp:lastModifiedBy>
  <cp:revision>10</cp:revision>
  <dcterms:created xsi:type="dcterms:W3CDTF">2018-08-04T08:43:00Z</dcterms:created>
  <dcterms:modified xsi:type="dcterms:W3CDTF">2018-08-04T11:42:00Z</dcterms:modified>
</cp:coreProperties>
</file>